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6DE" w:rsidRPr="001E6327" w:rsidRDefault="001356DE" w:rsidP="001356DE">
      <w:pPr>
        <w:pStyle w:val="NoSpacing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สารคดีเฉลิมพระเกียรติ มรดกศิลป์ แผ่นดินไทย</w:t>
      </w:r>
    </w:p>
    <w:p w:rsidR="001356DE" w:rsidRPr="001E6327" w:rsidRDefault="001356DE" w:rsidP="001356D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H SarabunPSK" w:hAnsi="TH SarabunPSK" w:cs="TH SarabunPSK"/>
          <w:color w:val="000000"/>
        </w:rPr>
      </w:pPr>
      <w:r w:rsidRPr="001E6327">
        <w:rPr>
          <w:rFonts w:ascii="TH SarabunPSK" w:hAnsi="TH SarabunPSK" w:cs="TH SarabunPSK"/>
          <w:b/>
          <w:bCs/>
          <w:color w:val="222222"/>
          <w:sz w:val="32"/>
          <w:szCs w:val="32"/>
          <w:bdr w:val="none" w:sz="0" w:space="0" w:color="auto" w:frame="1"/>
          <w:cs/>
        </w:rPr>
        <w:t>ตอนที่</w:t>
      </w:r>
      <w:r w:rsidRPr="001E6327">
        <w:rPr>
          <w:rFonts w:ascii="TH SarabunPSK" w:hAnsi="TH SarabunPSK" w:cs="TH SarabunPSK"/>
          <w:b/>
          <w:bCs/>
          <w:color w:val="222222"/>
          <w:sz w:val="32"/>
          <w:szCs w:val="32"/>
          <w:bdr w:val="none" w:sz="0" w:space="0" w:color="auto" w:frame="1"/>
        </w:rPr>
        <w:t> 20 </w:t>
      </w:r>
      <w:r w:rsidRPr="001E6327">
        <w:rPr>
          <w:rFonts w:ascii="TH SarabunPSK" w:hAnsi="TH SarabunPSK" w:cs="TH SarabunPSK"/>
          <w:b/>
          <w:bCs/>
          <w:color w:val="222222"/>
          <w:sz w:val="32"/>
          <w:szCs w:val="32"/>
          <w:bdr w:val="none" w:sz="0" w:space="0" w:color="auto" w:frame="1"/>
          <w:cs/>
        </w:rPr>
        <w:t>ริ้วขบวนพยุหยาตราในพระราชพิธีสำคัญ</w:t>
      </w:r>
    </w:p>
    <w:p w:rsidR="001356DE" w:rsidRPr="001E6327" w:rsidRDefault="001356DE" w:rsidP="001356D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H SarabunPSK" w:hAnsi="TH SarabunPSK" w:cs="TH SarabunPSK"/>
          <w:color w:val="000000"/>
        </w:rPr>
      </w:pPr>
    </w:p>
    <w:p w:rsidR="001356DE" w:rsidRPr="001E6327" w:rsidRDefault="001356DE" w:rsidP="001356DE">
      <w:pPr>
        <w:pStyle w:val="NormalWeb"/>
        <w:shd w:val="clear" w:color="auto" w:fill="FFFFFF"/>
        <w:spacing w:before="0" w:beforeAutospacing="0" w:after="0" w:afterAutospacing="0" w:line="300" w:lineRule="atLeast"/>
        <w:ind w:firstLine="720"/>
        <w:jc w:val="thaiDistribute"/>
        <w:rPr>
          <w:rFonts w:ascii="TH SarabunPSK" w:hAnsi="TH SarabunPSK" w:cs="TH SarabunPSK"/>
          <w:color w:val="000000"/>
        </w:rPr>
      </w:pP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  <w:cs/>
        </w:rPr>
        <w:t>การจัดริ้วขบวนเรือพยุหยาตราทางชลมารคในแม่น้ำเจ้าพระยาจะปรากฏสู่สายตาประชาชนไม่มากนักส่วนใหญ่เป็นพระราชพิธี หรือ รัฐพิธีสำคัญของบ้านเมือง ในสมัยกรุงรัตนโกสินทร์นั้น สามารถจำแนกการเสด็จพระราชดำเนินโดยขบวนพยุหยาตราทางชลมารคไปในการพระราชพิธีสำคัญได้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</w:rPr>
        <w:t> 7  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  <w:cs/>
        </w:rPr>
        <w:t>พระราชพิธี ได้แก่ พระราชพิธีเสด็จพระราชดำเนินถวายผ้าพระกฐิน นับตั้งแต่ปีพุทธศักราช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</w:rPr>
        <w:t>2325 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  <w:cs/>
        </w:rPr>
        <w:t>พระบาทสมเด็จพระพุทธยอดฟ้าจุฬาโลกมหาราช รัชกาลที่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</w:rPr>
        <w:t> 1 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  <w:cs/>
        </w:rPr>
        <w:t>เสด็จพระราชดำเนินไปถวายผ้าพระกฐิน ณ วัดบางหว้าใหญ่ หรือ วัดระฆัง</w:t>
      </w:r>
      <w:proofErr w:type="spellStart"/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  <w:cs/>
        </w:rPr>
        <w:t>โฆ</w:t>
      </w:r>
      <w:proofErr w:type="spellEnd"/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  <w:cs/>
        </w:rPr>
        <w:t>สิตารามวรมหาวิหารในปัจจุบัน และวัดหงส์รัตนารามราชวรวิหาร พระราชพิธีแห่พระพุทธรูปที่อัญเชิญจากพระอารามแห่งหนึ่งไปประดิษฐาน ณ พระอารามอีกแห่งหนึ่งพระราชพิธีแห่พระสารีริกธาตุ หรือ แห่พระพุทธรูปสำคัญที่อัญเชิญมาจากต่างแดนมีขึ้นสมัยต้นกรุงรัตนโกสินทร์ตั้งแต่รัชกาลที่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</w:rPr>
        <w:t> 1 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  <w:cs/>
        </w:rPr>
        <w:t>ถึงรัชกาลที่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</w:rPr>
        <w:t> 3  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  <w:cs/>
        </w:rPr>
        <w:t>พระราชพิธีเสด็จพระราชดำเนิน เนื่องในพระราชพิธีบรมราชาภิเษก ได้แก่ พระราชพิธีบรมราชาภิเษกสมัยรัชกาลที่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</w:rPr>
        <w:t> 1 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  <w:cs/>
        </w:rPr>
        <w:t>รัชกาลที่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</w:rPr>
        <w:t> 4 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  <w:cs/>
        </w:rPr>
        <w:t>จนถึงรัชกาลที่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</w:rPr>
        <w:t> 9 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  <w:cs/>
        </w:rPr>
        <w:t>เว้นแต่สมัยรัชกาลที่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</w:rPr>
        <w:t> 8 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  <w:cs/>
        </w:rPr>
        <w:t>ที่มิได้มีการประกอบพระราชพิธีบรมราชาภิเษก พระราชพิธีเนื่องในการพระบรมศพ และพระศพ คือการนำพระบรมศพหรือพระศพลงสู่เรือพระที่นั่งแห่ไปยังพระเมรุมาศเพื่อถวายพระเพลิง และนำพระอัฐิและพระสรีรังคารลงสู่เรือแห่ไปลอยพระอัฐิและพระสรีรรังคาร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</w:rPr>
        <w:t>  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  <w:cs/>
        </w:rPr>
        <w:t>พระราชพิธีรับพระราชอาคันตุกะ เช่น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</w:rPr>
        <w:t> 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  <w:cs/>
        </w:rPr>
        <w:t>การรับพระยาทวาย เจ้าเมืองทวายในดินแดนมอญ ในสมัยรัชกาลที่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</w:rPr>
        <w:t> 1 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  <w:cs/>
        </w:rPr>
        <w:t>รวมถึงพระราชพิธีลอยพระประทีป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</w:rPr>
        <w:t> 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  <w:cs/>
        </w:rPr>
        <w:t xml:space="preserve"> ที่ปรากฏในสมัยรัชกาลที่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</w:rPr>
        <w:t> 1 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  <w:cs/>
        </w:rPr>
        <w:t>และรัชกาลที่</w:t>
      </w:r>
      <w:r w:rsidRPr="001E6327">
        <w:rPr>
          <w:rFonts w:ascii="TH SarabunPSK" w:hAnsi="TH SarabunPSK" w:cs="TH SarabunPSK"/>
          <w:color w:val="222222"/>
          <w:sz w:val="32"/>
          <w:szCs w:val="32"/>
          <w:bdr w:val="none" w:sz="0" w:space="0" w:color="auto" w:frame="1"/>
        </w:rPr>
        <w:t> 3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DE"/>
    <w:rsid w:val="001356DE"/>
    <w:rsid w:val="00271B0E"/>
    <w:rsid w:val="004258D0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E8AA7-12FB-4E32-9B51-B7A07B9C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6D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NoSpacing">
    <w:name w:val="No Spacing"/>
    <w:uiPriority w:val="1"/>
    <w:qFormat/>
    <w:rsid w:val="00135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2019-09-14T04:45:00Z</dcterms:created>
  <dcterms:modified xsi:type="dcterms:W3CDTF">2019-09-14T04:45:00Z</dcterms:modified>
</cp:coreProperties>
</file>